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EC7F0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b/>
          <w:bCs/>
          <w:sz w:val="36"/>
          <w:szCs w:val="36"/>
        </w:rPr>
      </w:pPr>
      <w:r>
        <w:rPr>
          <w:rFonts w:hint="eastAsia" w:ascii="宋体" w:hAnsi="宋体" w:eastAsia="宋体" w:cs="宋体"/>
          <w:b/>
          <w:bCs/>
          <w:sz w:val="36"/>
          <w:szCs w:val="36"/>
        </w:rPr>
        <w:t>福建省金泰康乐养老服务有限公司关于养老护理服务采购项目公开招标中标公告</w:t>
      </w:r>
    </w:p>
    <w:p w14:paraId="64D102C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b/>
          <w:bCs/>
          <w:sz w:val="36"/>
          <w:szCs w:val="36"/>
        </w:rPr>
      </w:pPr>
    </w:p>
    <w:p w14:paraId="1BB3E62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一、项目编号：</w:t>
      </w:r>
      <w:r>
        <w:rPr>
          <w:rFonts w:hint="eastAsia" w:ascii="宋体" w:hAnsi="宋体" w:eastAsia="宋体" w:cs="宋体"/>
          <w:sz w:val="24"/>
          <w:szCs w:val="24"/>
          <w:lang w:eastAsia="zh-CN"/>
        </w:rPr>
        <w:t>NDYXCQ[GK]2024015（1）</w:t>
      </w:r>
      <w:bookmarkStart w:id="0" w:name="_GoBack"/>
      <w:bookmarkEnd w:id="0"/>
    </w:p>
    <w:p w14:paraId="29F017F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二、项目名称：养老护理服务采购项目</w:t>
      </w:r>
    </w:p>
    <w:p w14:paraId="369090B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三、中标（成交）信息</w:t>
      </w:r>
    </w:p>
    <w:p w14:paraId="03E77F2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供应商名称：宁德市好帮手家政服务有限公司</w:t>
      </w:r>
    </w:p>
    <w:p w14:paraId="7FE1F8D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供应商地址：</w:t>
      </w:r>
      <w:r>
        <w:rPr>
          <w:rFonts w:ascii="宋体" w:hAnsi="宋体" w:eastAsia="宋体" w:cs="宋体"/>
          <w:sz w:val="24"/>
          <w:szCs w:val="24"/>
        </w:rPr>
        <w:t>福建省宁德市东侨经济开发区南湖滨路2号龙威经茂广场3幢1梯1606室</w:t>
      </w:r>
    </w:p>
    <w:p w14:paraId="426205F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中标（成交）金额：</w:t>
      </w:r>
      <w:r>
        <w:rPr>
          <w:rFonts w:hint="eastAsia" w:ascii="宋体" w:hAnsi="宋体" w:eastAsia="宋体" w:cs="宋体"/>
          <w:i w:val="0"/>
          <w:caps w:val="0"/>
          <w:color w:val="auto"/>
          <w:spacing w:val="0"/>
          <w:sz w:val="24"/>
          <w:szCs w:val="24"/>
          <w:lang w:val="en-US" w:eastAsia="zh-CN"/>
        </w:rPr>
        <w:t>354.4560</w:t>
      </w:r>
      <w:r>
        <w:rPr>
          <w:rFonts w:hint="eastAsia" w:ascii="宋体" w:hAnsi="宋体" w:eastAsia="宋体" w:cs="宋体"/>
          <w:sz w:val="24"/>
          <w:szCs w:val="24"/>
        </w:rPr>
        <w:t>（万元）</w:t>
      </w:r>
    </w:p>
    <w:p w14:paraId="577523C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四、主要标的信息</w:t>
      </w:r>
    </w:p>
    <w:tbl>
      <w:tblPr>
        <w:tblStyle w:val="5"/>
        <w:tblW w:w="9839" w:type="dxa"/>
        <w:tblInd w:w="-125" w:type="dxa"/>
        <w:tblBorders>
          <w:top w:val="outset" w:color="auto" w:sz="18" w:space="0"/>
          <w:left w:val="outset" w:color="auto" w:sz="18" w:space="0"/>
          <w:bottom w:val="outset" w:color="auto" w:sz="18" w:space="0"/>
          <w:right w:val="outset" w:color="auto" w:sz="18" w:space="0"/>
          <w:insideH w:val="outset" w:color="auto" w:sz="18" w:space="0"/>
          <w:insideV w:val="outset" w:color="auto" w:sz="18" w:space="0"/>
        </w:tblBorders>
        <w:shd w:val="clear" w:color="auto" w:fill="auto"/>
        <w:tblLayout w:type="autofit"/>
        <w:tblCellMar>
          <w:top w:w="0" w:type="dxa"/>
          <w:left w:w="0" w:type="dxa"/>
          <w:bottom w:w="0" w:type="dxa"/>
          <w:right w:w="0" w:type="dxa"/>
        </w:tblCellMar>
      </w:tblPr>
      <w:tblGrid>
        <w:gridCol w:w="406"/>
        <w:gridCol w:w="576"/>
        <w:gridCol w:w="926"/>
        <w:gridCol w:w="1668"/>
        <w:gridCol w:w="1557"/>
        <w:gridCol w:w="1068"/>
        <w:gridCol w:w="2644"/>
        <w:gridCol w:w="994"/>
      </w:tblGrid>
      <w:tr w14:paraId="60E3280E">
        <w:tblPrEx>
          <w:tblBorders>
            <w:top w:val="outset" w:color="auto" w:sz="18" w:space="0"/>
            <w:left w:val="outset" w:color="auto" w:sz="18" w:space="0"/>
            <w:bottom w:val="outset" w:color="auto" w:sz="18" w:space="0"/>
            <w:right w:val="outset" w:color="auto" w:sz="18" w:space="0"/>
            <w:insideH w:val="outset" w:color="auto" w:sz="18" w:space="0"/>
            <w:insideV w:val="outset" w:color="auto" w:sz="18" w:space="0"/>
          </w:tblBorders>
          <w:shd w:val="clear" w:color="auto" w:fill="auto"/>
          <w:tblCellMar>
            <w:top w:w="0" w:type="dxa"/>
            <w:left w:w="0" w:type="dxa"/>
            <w:bottom w:w="0" w:type="dxa"/>
            <w:right w:w="0" w:type="dxa"/>
          </w:tblCellMar>
        </w:tblPrEx>
        <w:trPr>
          <w:trHeight w:val="930" w:hRule="atLeast"/>
        </w:trPr>
        <w:tc>
          <w:tcPr>
            <w:tcW w:w="406" w:type="dxa"/>
            <w:tcBorders>
              <w:top w:val="outset" w:color="auto" w:sz="6" w:space="0"/>
              <w:left w:val="outset" w:color="auto" w:sz="8" w:space="0"/>
              <w:bottom w:val="outset" w:color="auto" w:sz="8" w:space="0"/>
              <w:right w:val="outset" w:color="auto" w:sz="8" w:space="0"/>
            </w:tcBorders>
            <w:shd w:val="clear" w:color="auto" w:fill="auto"/>
            <w:vAlign w:val="center"/>
          </w:tcPr>
          <w:p w14:paraId="643A4299">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序号</w:t>
            </w:r>
          </w:p>
        </w:tc>
        <w:tc>
          <w:tcPr>
            <w:tcW w:w="576" w:type="dxa"/>
            <w:tcBorders>
              <w:top w:val="outset" w:color="auto" w:sz="6" w:space="0"/>
              <w:left w:val="outset" w:color="auto" w:sz="8" w:space="0"/>
              <w:bottom w:val="outset" w:color="auto" w:sz="8" w:space="0"/>
              <w:right w:val="outset" w:color="auto" w:sz="8" w:space="0"/>
            </w:tcBorders>
            <w:shd w:val="clear" w:color="auto" w:fill="auto"/>
            <w:vAlign w:val="center"/>
          </w:tcPr>
          <w:p w14:paraId="74F1F6A7">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供应商名称</w:t>
            </w:r>
          </w:p>
        </w:tc>
        <w:tc>
          <w:tcPr>
            <w:tcW w:w="926" w:type="dxa"/>
            <w:tcBorders>
              <w:top w:val="outset" w:color="auto" w:sz="6" w:space="0"/>
              <w:left w:val="outset" w:color="auto" w:sz="8" w:space="0"/>
              <w:bottom w:val="outset" w:color="auto" w:sz="8" w:space="0"/>
              <w:right w:val="outset" w:color="auto" w:sz="8" w:space="0"/>
            </w:tcBorders>
            <w:shd w:val="clear" w:color="auto" w:fill="auto"/>
            <w:vAlign w:val="center"/>
          </w:tcPr>
          <w:p w14:paraId="2369A2C0">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服务名称</w:t>
            </w:r>
          </w:p>
        </w:tc>
        <w:tc>
          <w:tcPr>
            <w:tcW w:w="1668" w:type="dxa"/>
            <w:tcBorders>
              <w:top w:val="outset" w:color="auto" w:sz="6" w:space="0"/>
              <w:left w:val="outset" w:color="auto" w:sz="8" w:space="0"/>
              <w:bottom w:val="outset" w:color="auto" w:sz="8" w:space="0"/>
              <w:right w:val="outset" w:color="auto" w:sz="8" w:space="0"/>
            </w:tcBorders>
            <w:shd w:val="clear" w:color="auto" w:fill="auto"/>
            <w:vAlign w:val="center"/>
          </w:tcPr>
          <w:p w14:paraId="0CD3E7A9">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服务范围</w:t>
            </w:r>
          </w:p>
        </w:tc>
        <w:tc>
          <w:tcPr>
            <w:tcW w:w="1557" w:type="dxa"/>
            <w:tcBorders>
              <w:top w:val="outset" w:color="auto" w:sz="6" w:space="0"/>
              <w:left w:val="outset" w:color="auto" w:sz="8" w:space="0"/>
              <w:bottom w:val="outset" w:color="auto" w:sz="8" w:space="0"/>
              <w:right w:val="outset" w:color="auto" w:sz="8" w:space="0"/>
            </w:tcBorders>
            <w:shd w:val="clear" w:color="auto" w:fill="auto"/>
            <w:vAlign w:val="center"/>
          </w:tcPr>
          <w:p w14:paraId="71A910D5">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服务要求</w:t>
            </w:r>
          </w:p>
        </w:tc>
        <w:tc>
          <w:tcPr>
            <w:tcW w:w="1068" w:type="dxa"/>
            <w:tcBorders>
              <w:top w:val="outset" w:color="auto" w:sz="6" w:space="0"/>
              <w:left w:val="outset" w:color="auto" w:sz="8" w:space="0"/>
              <w:bottom w:val="outset" w:color="auto" w:sz="8" w:space="0"/>
              <w:right w:val="outset" w:color="auto" w:sz="8" w:space="0"/>
            </w:tcBorders>
            <w:shd w:val="clear" w:color="auto" w:fill="auto"/>
            <w:vAlign w:val="center"/>
          </w:tcPr>
          <w:p w14:paraId="51CDCB5A">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服务时间</w:t>
            </w:r>
          </w:p>
        </w:tc>
        <w:tc>
          <w:tcPr>
            <w:tcW w:w="2644" w:type="dxa"/>
            <w:tcBorders>
              <w:top w:val="outset" w:color="auto" w:sz="6" w:space="0"/>
              <w:left w:val="outset" w:color="auto" w:sz="8" w:space="0"/>
              <w:bottom w:val="outset" w:color="auto" w:sz="8" w:space="0"/>
              <w:right w:val="outset" w:color="auto" w:sz="8" w:space="0"/>
            </w:tcBorders>
            <w:shd w:val="clear" w:color="auto" w:fill="auto"/>
            <w:vAlign w:val="center"/>
          </w:tcPr>
          <w:p w14:paraId="4B15BB40">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服务标准</w:t>
            </w:r>
          </w:p>
        </w:tc>
        <w:tc>
          <w:tcPr>
            <w:tcW w:w="994" w:type="dxa"/>
            <w:tcBorders>
              <w:top w:val="outset" w:color="auto" w:sz="6" w:space="0"/>
              <w:left w:val="outset" w:color="auto" w:sz="8" w:space="0"/>
              <w:bottom w:val="outset" w:color="auto" w:sz="8" w:space="0"/>
              <w:right w:val="outset" w:color="auto" w:sz="8" w:space="0"/>
            </w:tcBorders>
            <w:shd w:val="clear" w:color="auto" w:fill="auto"/>
            <w:vAlign w:val="center"/>
          </w:tcPr>
          <w:p w14:paraId="1B6BAD42">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评审得分</w:t>
            </w:r>
          </w:p>
        </w:tc>
      </w:tr>
      <w:tr w14:paraId="1A184DE9">
        <w:tblPrEx>
          <w:tblBorders>
            <w:top w:val="outset" w:color="auto" w:sz="18" w:space="0"/>
            <w:left w:val="outset" w:color="auto" w:sz="18" w:space="0"/>
            <w:bottom w:val="outset" w:color="auto" w:sz="18" w:space="0"/>
            <w:right w:val="outset" w:color="auto" w:sz="18" w:space="0"/>
            <w:insideH w:val="outset" w:color="auto" w:sz="18" w:space="0"/>
            <w:insideV w:val="outset" w:color="auto" w:sz="18" w:space="0"/>
          </w:tblBorders>
          <w:shd w:val="clear" w:color="auto" w:fill="auto"/>
          <w:tblCellMar>
            <w:top w:w="0" w:type="dxa"/>
            <w:left w:w="0" w:type="dxa"/>
            <w:bottom w:w="0" w:type="dxa"/>
            <w:right w:w="0" w:type="dxa"/>
          </w:tblCellMar>
        </w:tblPrEx>
        <w:trPr>
          <w:trHeight w:val="4885" w:hRule="atLeast"/>
        </w:trPr>
        <w:tc>
          <w:tcPr>
            <w:tcW w:w="406" w:type="dxa"/>
            <w:tcBorders>
              <w:top w:val="outset" w:color="auto" w:sz="6" w:space="0"/>
              <w:left w:val="outset" w:color="auto" w:sz="8" w:space="0"/>
              <w:bottom w:val="outset" w:color="auto" w:sz="8" w:space="0"/>
              <w:right w:val="outset" w:color="auto" w:sz="8" w:space="0"/>
            </w:tcBorders>
            <w:shd w:val="clear" w:color="auto" w:fill="auto"/>
            <w:vAlign w:val="center"/>
          </w:tcPr>
          <w:p w14:paraId="09B338B4">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w:t>
            </w:r>
          </w:p>
        </w:tc>
        <w:tc>
          <w:tcPr>
            <w:tcW w:w="576" w:type="dxa"/>
            <w:tcBorders>
              <w:top w:val="outset" w:color="auto" w:sz="6" w:space="0"/>
              <w:left w:val="outset" w:color="auto" w:sz="8" w:space="0"/>
              <w:bottom w:val="outset" w:color="auto" w:sz="8" w:space="0"/>
              <w:right w:val="outset" w:color="auto" w:sz="8" w:space="0"/>
            </w:tcBorders>
            <w:shd w:val="clear" w:color="auto" w:fill="auto"/>
            <w:vAlign w:val="center"/>
          </w:tcPr>
          <w:p w14:paraId="0D037F4B">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宁德市好帮手家政服务有限公司</w:t>
            </w:r>
          </w:p>
        </w:tc>
        <w:tc>
          <w:tcPr>
            <w:tcW w:w="926" w:type="dxa"/>
            <w:tcBorders>
              <w:top w:val="outset" w:color="auto" w:sz="6" w:space="0"/>
              <w:left w:val="outset" w:color="auto" w:sz="8" w:space="0"/>
              <w:bottom w:val="outset" w:color="auto" w:sz="8" w:space="0"/>
              <w:right w:val="outset" w:color="auto" w:sz="8" w:space="0"/>
            </w:tcBorders>
            <w:shd w:val="clear" w:color="auto" w:fill="auto"/>
            <w:vAlign w:val="center"/>
          </w:tcPr>
          <w:p w14:paraId="6C6CE463">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护理服务</w:t>
            </w:r>
          </w:p>
        </w:tc>
        <w:tc>
          <w:tcPr>
            <w:tcW w:w="1668" w:type="dxa"/>
            <w:tcBorders>
              <w:top w:val="outset" w:color="auto" w:sz="6" w:space="0"/>
              <w:left w:val="outset" w:color="auto" w:sz="8" w:space="0"/>
              <w:bottom w:val="outset" w:color="auto" w:sz="8" w:space="0"/>
              <w:right w:val="outset" w:color="auto" w:sz="8" w:space="0"/>
            </w:tcBorders>
            <w:shd w:val="clear" w:color="auto" w:fill="auto"/>
            <w:vAlign w:val="center"/>
          </w:tcPr>
          <w:p w14:paraId="3DE7C7BA">
            <w:pPr>
              <w:keepNext w:val="0"/>
              <w:keepLines w:val="0"/>
              <w:widowControl/>
              <w:suppressLineNumbers w:val="0"/>
              <w:spacing w:line="312" w:lineRule="auto"/>
              <w:ind w:firstLine="420" w:firstLineChars="200"/>
              <w:jc w:val="left"/>
              <w:rPr>
                <w:rFonts w:hint="eastAsia" w:ascii="宋体" w:hAnsi="宋体" w:eastAsia="宋体" w:cs="宋体"/>
                <w:sz w:val="24"/>
                <w:szCs w:val="24"/>
              </w:rPr>
            </w:pPr>
            <w:r>
              <w:rPr>
                <w:rFonts w:hint="eastAsia" w:ascii="宋体" w:hAnsi="宋体" w:cs="宋体"/>
                <w:color w:val="auto"/>
                <w:sz w:val="21"/>
                <w:szCs w:val="21"/>
                <w:highlight w:val="none"/>
              </w:rPr>
              <w:t>金泰园位于宁德市蕉城区福海路1号，总建筑面积80250.00平方米，总设计养老床位1493张，现已开放床位394张。项目按照国家一级福利事业单位标准建设。</w:t>
            </w:r>
            <w:r>
              <w:rPr>
                <w:rFonts w:hint="eastAsia" w:ascii="宋体" w:hAnsi="宋体" w:eastAsia="宋体" w:cs="宋体"/>
                <w:color w:val="auto"/>
                <w:sz w:val="21"/>
                <w:szCs w:val="21"/>
                <w:highlight w:val="none"/>
              </w:rPr>
              <w:t>护理区现有各类住民约</w:t>
            </w:r>
            <w:r>
              <w:rPr>
                <w:rFonts w:hint="eastAsia" w:ascii="宋体" w:hAnsi="宋体" w:eastAsia="宋体" w:cs="宋体"/>
                <w:color w:val="auto"/>
                <w:sz w:val="21"/>
                <w:szCs w:val="21"/>
                <w:highlight w:val="none"/>
                <w:lang w:eastAsia="zh-CN"/>
              </w:rPr>
              <w:t>1</w:t>
            </w:r>
            <w:r>
              <w:rPr>
                <w:rFonts w:hint="eastAsia" w:ascii="宋体" w:hAnsi="宋体" w:eastAsia="宋体" w:cs="宋体"/>
                <w:color w:val="auto"/>
                <w:sz w:val="21"/>
                <w:szCs w:val="21"/>
                <w:highlight w:val="none"/>
                <w:lang w:val="en-US" w:eastAsia="zh-CN"/>
              </w:rPr>
              <w:t>91</w:t>
            </w:r>
            <w:r>
              <w:rPr>
                <w:rFonts w:hint="eastAsia" w:ascii="宋体" w:hAnsi="宋体" w:eastAsia="宋体" w:cs="宋体"/>
                <w:color w:val="auto"/>
                <w:sz w:val="21"/>
                <w:szCs w:val="21"/>
                <w:highlight w:val="none"/>
              </w:rPr>
              <w:t>人，其中半护理30人，集中供养46人，全护103人，流浪人员2人，自理10人</w:t>
            </w:r>
            <w:r>
              <w:rPr>
                <w:rFonts w:hint="eastAsia" w:ascii="宋体" w:hAnsi="宋体" w:eastAsia="宋体" w:cs="宋体"/>
                <w:i w:val="0"/>
                <w:iCs w:val="0"/>
                <w:caps w:val="0"/>
                <w:color w:val="383838"/>
                <w:spacing w:val="0"/>
                <w:kern w:val="0"/>
                <w:sz w:val="21"/>
                <w:szCs w:val="21"/>
                <w:lang w:val="en-US" w:eastAsia="zh-CN" w:bidi="ar"/>
              </w:rPr>
              <w:t>。详见招标文件。  </w:t>
            </w:r>
          </w:p>
        </w:tc>
        <w:tc>
          <w:tcPr>
            <w:tcW w:w="1557" w:type="dxa"/>
            <w:tcBorders>
              <w:top w:val="outset" w:color="auto" w:sz="6" w:space="0"/>
              <w:left w:val="outset" w:color="auto" w:sz="8" w:space="0"/>
              <w:bottom w:val="outset" w:color="auto" w:sz="8" w:space="0"/>
              <w:right w:val="outset" w:color="auto" w:sz="8" w:space="0"/>
            </w:tcBorders>
            <w:shd w:val="clear" w:color="auto" w:fill="auto"/>
            <w:vAlign w:val="center"/>
          </w:tcPr>
          <w:p w14:paraId="509E6BF9">
            <w:pPr>
              <w:keepNext w:val="0"/>
              <w:keepLines w:val="0"/>
              <w:widowControl/>
              <w:suppressLineNumbers w:val="0"/>
              <w:spacing w:line="312" w:lineRule="auto"/>
              <w:ind w:firstLine="336" w:firstLineChars="160"/>
              <w:jc w:val="left"/>
              <w:rPr>
                <w:rFonts w:hint="eastAsia" w:ascii="宋体" w:hAnsi="宋体" w:eastAsia="宋体" w:cs="宋体"/>
                <w:sz w:val="24"/>
                <w:szCs w:val="24"/>
              </w:rPr>
            </w:pPr>
            <w:r>
              <w:rPr>
                <w:rFonts w:hint="eastAsia" w:ascii="宋体" w:hAnsi="宋体" w:eastAsia="宋体" w:cs="宋体"/>
                <w:b w:val="0"/>
                <w:bCs w:val="0"/>
                <w:color w:val="auto"/>
                <w:sz w:val="21"/>
                <w:szCs w:val="21"/>
                <w:highlight w:val="none"/>
              </w:rPr>
              <w:t>供应商根据采购人需求安排具体护工人数，现开放的护理型住民需要护工至少52人（此人数为标准基本护工人数，不含护工主管）。</w:t>
            </w:r>
            <w:r>
              <w:rPr>
                <w:rFonts w:hint="eastAsia" w:ascii="宋体" w:hAnsi="宋体" w:cs="宋体"/>
                <w:b w:val="0"/>
                <w:bCs w:val="0"/>
                <w:color w:val="auto"/>
                <w:sz w:val="21"/>
                <w:szCs w:val="21"/>
                <w:highlight w:val="none"/>
              </w:rPr>
              <w:t>为提升服务质量及满足园区实际需要，原则上可在护工标准人数总数的基础上上浮5%的比例作为机动人数（即以目前标准人数</w:t>
            </w:r>
            <w:r>
              <w:rPr>
                <w:rFonts w:hint="eastAsia" w:ascii="宋体" w:hAnsi="宋体" w:cs="宋体"/>
                <w:b w:val="0"/>
                <w:bCs w:val="0"/>
                <w:color w:val="auto"/>
                <w:sz w:val="21"/>
                <w:szCs w:val="21"/>
                <w:highlight w:val="none"/>
                <w:lang w:val="en-US" w:eastAsia="zh-CN"/>
              </w:rPr>
              <w:t>52</w:t>
            </w:r>
            <w:r>
              <w:rPr>
                <w:rFonts w:hint="eastAsia" w:ascii="宋体" w:hAnsi="宋体" w:cs="宋体"/>
                <w:b w:val="0"/>
                <w:bCs w:val="0"/>
                <w:color w:val="auto"/>
                <w:sz w:val="21"/>
                <w:szCs w:val="21"/>
                <w:highlight w:val="none"/>
              </w:rPr>
              <w:t>人为例，可增派3名护工作为机动人员），采购人按实际出勤人数、中标单价并结合考核情况结算服务费。机动人员应接受采购人的统一调配。</w:t>
            </w:r>
            <w:r>
              <w:rPr>
                <w:rFonts w:hint="eastAsia" w:ascii="宋体" w:hAnsi="宋体" w:eastAsia="宋体" w:cs="宋体"/>
                <w:b w:val="0"/>
                <w:bCs w:val="0"/>
                <w:i w:val="0"/>
                <w:iCs w:val="0"/>
                <w:caps w:val="0"/>
                <w:color w:val="383838"/>
                <w:spacing w:val="0"/>
                <w:kern w:val="0"/>
                <w:sz w:val="21"/>
                <w:szCs w:val="21"/>
                <w:lang w:val="en-US" w:eastAsia="zh-CN" w:bidi="ar"/>
              </w:rPr>
              <w:t>详见招标文件。  </w:t>
            </w:r>
          </w:p>
        </w:tc>
        <w:tc>
          <w:tcPr>
            <w:tcW w:w="1068" w:type="dxa"/>
            <w:tcBorders>
              <w:top w:val="outset" w:color="auto" w:sz="6" w:space="0"/>
              <w:left w:val="outset" w:color="auto" w:sz="8" w:space="0"/>
              <w:bottom w:val="outset" w:color="auto" w:sz="8" w:space="0"/>
              <w:right w:val="outset" w:color="auto" w:sz="8" w:space="0"/>
            </w:tcBorders>
            <w:shd w:val="clear" w:color="auto" w:fill="auto"/>
            <w:vAlign w:val="center"/>
          </w:tcPr>
          <w:p w14:paraId="2D75CBEF">
            <w:pPr>
              <w:keepNext w:val="0"/>
              <w:keepLines w:val="0"/>
              <w:widowControl/>
              <w:suppressLineNumbers w:val="0"/>
              <w:spacing w:line="312" w:lineRule="auto"/>
              <w:ind w:firstLine="420" w:firstLineChars="200"/>
              <w:jc w:val="left"/>
              <w:rPr>
                <w:rFonts w:hint="eastAsia" w:ascii="宋体" w:hAnsi="宋体" w:eastAsia="宋体" w:cs="宋体"/>
                <w:sz w:val="24"/>
                <w:szCs w:val="24"/>
              </w:rPr>
            </w:pPr>
            <w:r>
              <w:rPr>
                <w:rFonts w:hint="eastAsia" w:ascii="宋体" w:hAnsi="宋体" w:cs="宋体"/>
                <w:b w:val="0"/>
                <w:bCs w:val="0"/>
                <w:color w:val="auto"/>
                <w:kern w:val="0"/>
                <w:sz w:val="21"/>
                <w:szCs w:val="21"/>
                <w:highlight w:val="none"/>
              </w:rPr>
              <w:t>供应商应在签订合同后的</w:t>
            </w:r>
            <w:r>
              <w:rPr>
                <w:rFonts w:hint="eastAsia" w:ascii="宋体" w:hAnsi="宋体" w:cs="宋体"/>
                <w:b w:val="0"/>
                <w:bCs w:val="0"/>
                <w:color w:val="auto"/>
                <w:kern w:val="0"/>
                <w:sz w:val="21"/>
                <w:szCs w:val="21"/>
                <w:highlight w:val="none"/>
                <w:lang w:val="en-US" w:eastAsia="zh-CN"/>
              </w:rPr>
              <w:t>4</w:t>
            </w:r>
            <w:r>
              <w:rPr>
                <w:rFonts w:hint="eastAsia" w:ascii="宋体" w:hAnsi="宋体" w:cs="宋体"/>
                <w:b w:val="0"/>
                <w:bCs w:val="0"/>
                <w:color w:val="auto"/>
                <w:kern w:val="0"/>
                <w:sz w:val="21"/>
                <w:szCs w:val="21"/>
                <w:highlight w:val="none"/>
              </w:rPr>
              <w:t>天内，组织服务团队全体人员正式入园完毕。服务期限原则上为1年，自合同签订后且服务团队人员正式入园提供护理工作之日起计算。</w:t>
            </w:r>
            <w:r>
              <w:rPr>
                <w:rFonts w:hint="eastAsia" w:ascii="宋体" w:hAnsi="宋体" w:eastAsia="宋体" w:cs="宋体"/>
                <w:b w:val="0"/>
                <w:bCs w:val="0"/>
                <w:i w:val="0"/>
                <w:iCs w:val="0"/>
                <w:caps w:val="0"/>
                <w:color w:val="383838"/>
                <w:spacing w:val="0"/>
                <w:kern w:val="0"/>
                <w:sz w:val="21"/>
                <w:szCs w:val="21"/>
                <w:lang w:val="en-US" w:eastAsia="zh-CN" w:bidi="ar"/>
              </w:rPr>
              <w:t>详见招标文件。  </w:t>
            </w:r>
          </w:p>
        </w:tc>
        <w:tc>
          <w:tcPr>
            <w:tcW w:w="2644" w:type="dxa"/>
            <w:tcBorders>
              <w:top w:val="outset" w:color="auto" w:sz="6" w:space="0"/>
              <w:left w:val="outset" w:color="auto" w:sz="8" w:space="0"/>
              <w:bottom w:val="outset" w:color="auto" w:sz="8" w:space="0"/>
              <w:right w:val="outset" w:color="auto" w:sz="8" w:space="0"/>
            </w:tcBorders>
            <w:shd w:val="clear" w:color="auto" w:fill="auto"/>
            <w:vAlign w:val="center"/>
          </w:tcPr>
          <w:p w14:paraId="014A89D1">
            <w:pPr>
              <w:spacing w:line="312" w:lineRule="auto"/>
              <w:ind w:firstLine="420" w:firstLineChars="200"/>
              <w:rPr>
                <w:rFonts w:ascii="宋体" w:hAnsi="宋体" w:cs="宋体"/>
                <w:b w:val="0"/>
                <w:bCs w:val="0"/>
                <w:color w:val="auto"/>
                <w:sz w:val="21"/>
                <w:szCs w:val="21"/>
                <w:highlight w:val="none"/>
              </w:rPr>
            </w:pPr>
            <w:r>
              <w:rPr>
                <w:rFonts w:hint="eastAsia" w:ascii="宋体" w:hAnsi="宋体" w:cs="宋体"/>
                <w:b w:val="0"/>
                <w:bCs w:val="0"/>
                <w:color w:val="auto"/>
                <w:sz w:val="21"/>
                <w:szCs w:val="21"/>
                <w:highlight w:val="none"/>
              </w:rPr>
              <w:t>1.供应商为护理区住民提供日常护理服务，服务内容、护理规范及服务规范按以下文件执行：</w:t>
            </w:r>
          </w:p>
          <w:p w14:paraId="787341A7">
            <w:pPr>
              <w:keepNext w:val="0"/>
              <w:keepLines w:val="0"/>
              <w:widowControl/>
              <w:suppressLineNumbers w:val="0"/>
              <w:spacing w:line="312" w:lineRule="auto"/>
              <w:ind w:firstLine="420" w:firstLineChars="200"/>
              <w:jc w:val="left"/>
              <w:rPr>
                <w:rFonts w:hint="eastAsia" w:ascii="宋体" w:hAnsi="宋体" w:eastAsia="宋体" w:cs="宋体"/>
                <w:sz w:val="24"/>
                <w:szCs w:val="24"/>
              </w:rPr>
            </w:pPr>
            <w:r>
              <w:rPr>
                <w:rFonts w:hint="eastAsia" w:ascii="宋体" w:hAnsi="宋体" w:cs="宋体"/>
                <w:b w:val="0"/>
                <w:bCs w:val="0"/>
                <w:color w:val="auto"/>
                <w:sz w:val="21"/>
                <w:szCs w:val="21"/>
                <w:highlight w:val="none"/>
              </w:rPr>
              <w:t>《护理</w:t>
            </w:r>
            <w:r>
              <w:rPr>
                <w:rFonts w:ascii="宋体" w:hAnsi="宋体" w:cs="宋体"/>
                <w:b w:val="0"/>
                <w:bCs w:val="0"/>
                <w:color w:val="auto"/>
                <w:sz w:val="21"/>
                <w:szCs w:val="21"/>
                <w:highlight w:val="none"/>
              </w:rPr>
              <w:t>接待服务规范</w:t>
            </w:r>
            <w:r>
              <w:rPr>
                <w:rFonts w:hint="eastAsia" w:ascii="宋体" w:hAnsi="宋体" w:cs="宋体"/>
                <w:b w:val="0"/>
                <w:bCs w:val="0"/>
                <w:color w:val="auto"/>
                <w:sz w:val="21"/>
                <w:szCs w:val="21"/>
                <w:highlight w:val="none"/>
              </w:rPr>
              <w:t>》、《压疮护理服务规范》、《生活照料服务规范》、《饮食照料服务规范》、《晨晚间照料服务规范》、《口腔清洁服务规范》、《身体清洁服务规范》、《居室清洁服务规范》、《衣物清洁服务规范》、《排泄照料服务规范》、《体位转移服务规范》、《陪同就医服务规范》、《护理安全与应急管理规范》、《院感管理规范》等。以上标准如有需要可自行向采购人尽职了解。若以上规定未明确的或未列入的服务内容，以国家和地方颁布的技能鉴定考核标准执行。若以上规定存在已被依法正式替换、废止等情况或与最新更新的权威规定、标准有冲突的，应以最新的法律规章、相关规定标准为准。</w:t>
            </w:r>
            <w:r>
              <w:rPr>
                <w:rFonts w:hint="eastAsia" w:ascii="宋体" w:hAnsi="宋体" w:eastAsia="宋体" w:cs="宋体"/>
                <w:b w:val="0"/>
                <w:bCs w:val="0"/>
                <w:i w:val="0"/>
                <w:iCs w:val="0"/>
                <w:caps w:val="0"/>
                <w:color w:val="383838"/>
                <w:spacing w:val="0"/>
                <w:kern w:val="0"/>
                <w:sz w:val="21"/>
                <w:szCs w:val="21"/>
                <w:lang w:val="en-US" w:eastAsia="zh-CN" w:bidi="ar"/>
              </w:rPr>
              <w:t>详见招标文件。  </w:t>
            </w:r>
          </w:p>
        </w:tc>
        <w:tc>
          <w:tcPr>
            <w:tcW w:w="994" w:type="dxa"/>
            <w:tcBorders>
              <w:top w:val="outset" w:color="auto" w:sz="6" w:space="0"/>
              <w:left w:val="outset" w:color="auto" w:sz="8" w:space="0"/>
              <w:bottom w:val="outset" w:color="auto" w:sz="8" w:space="0"/>
              <w:right w:val="outset" w:color="auto" w:sz="8" w:space="0"/>
            </w:tcBorders>
            <w:shd w:val="clear" w:color="auto" w:fill="auto"/>
            <w:vAlign w:val="center"/>
          </w:tcPr>
          <w:p w14:paraId="5766BCA1">
            <w:pPr>
              <w:keepNext w:val="0"/>
              <w:keepLines w:val="0"/>
              <w:widowControl/>
              <w:suppressLineNumbers w:val="0"/>
              <w:spacing w:line="312" w:lineRule="auto"/>
              <w:jc w:val="center"/>
              <w:rPr>
                <w:rFonts w:hint="default" w:ascii="宋体" w:hAnsi="宋体" w:cs="宋体"/>
                <w:b w:val="0"/>
                <w:bCs w:val="0"/>
                <w:color w:val="auto"/>
                <w:sz w:val="21"/>
                <w:szCs w:val="21"/>
                <w:highlight w:val="none"/>
                <w:lang w:val="en-US"/>
              </w:rPr>
            </w:pPr>
            <w:r>
              <w:rPr>
                <w:rFonts w:hint="eastAsia" w:ascii="宋体" w:hAnsi="宋体" w:eastAsia="宋体" w:cs="宋体"/>
                <w:i w:val="0"/>
                <w:iCs w:val="0"/>
                <w:color w:val="auto"/>
                <w:kern w:val="0"/>
                <w:sz w:val="20"/>
                <w:szCs w:val="20"/>
                <w:highlight w:val="none"/>
                <w:u w:val="none"/>
                <w:lang w:val="en-US" w:eastAsia="zh-CN" w:bidi="ar"/>
              </w:rPr>
              <w:t>98.71分</w:t>
            </w:r>
          </w:p>
        </w:tc>
      </w:tr>
    </w:tbl>
    <w:p w14:paraId="0FB8986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五、评审专家（单一来源采购人员）名单：</w:t>
      </w:r>
    </w:p>
    <w:p w14:paraId="64F5097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黄训瑞</w:t>
      </w:r>
      <w:r>
        <w:rPr>
          <w:rFonts w:hint="eastAsia" w:ascii="宋体" w:hAnsi="宋体" w:eastAsia="宋体" w:cs="宋体"/>
          <w:sz w:val="24"/>
          <w:szCs w:val="24"/>
          <w:lang w:eastAsia="zh-CN"/>
        </w:rPr>
        <w:t>、</w:t>
      </w:r>
      <w:r>
        <w:rPr>
          <w:rFonts w:hint="eastAsia" w:ascii="宋体" w:hAnsi="宋体" w:eastAsia="宋体" w:cs="宋体"/>
          <w:sz w:val="24"/>
          <w:szCs w:val="24"/>
        </w:rPr>
        <w:t>黄雅珠</w:t>
      </w:r>
      <w:r>
        <w:rPr>
          <w:rFonts w:hint="eastAsia" w:ascii="宋体" w:hAnsi="宋体" w:eastAsia="宋体" w:cs="宋体"/>
          <w:sz w:val="24"/>
          <w:szCs w:val="24"/>
          <w:lang w:eastAsia="zh-CN"/>
        </w:rPr>
        <w:t>、</w:t>
      </w:r>
      <w:r>
        <w:rPr>
          <w:rFonts w:hint="eastAsia" w:ascii="宋体" w:hAnsi="宋体" w:eastAsia="宋体" w:cs="宋体"/>
          <w:sz w:val="24"/>
          <w:szCs w:val="24"/>
        </w:rPr>
        <w:t>王文琼</w:t>
      </w:r>
      <w:r>
        <w:rPr>
          <w:rFonts w:hint="eastAsia" w:ascii="宋体" w:hAnsi="宋体" w:eastAsia="宋体" w:cs="宋体"/>
          <w:sz w:val="24"/>
          <w:szCs w:val="24"/>
          <w:lang w:eastAsia="zh-CN"/>
        </w:rPr>
        <w:t>、</w:t>
      </w:r>
      <w:r>
        <w:rPr>
          <w:rFonts w:hint="eastAsia" w:ascii="宋体" w:hAnsi="宋体" w:eastAsia="宋体" w:cs="宋体"/>
          <w:sz w:val="24"/>
          <w:szCs w:val="24"/>
        </w:rPr>
        <w:t>黄芬芬</w:t>
      </w:r>
      <w:r>
        <w:rPr>
          <w:rFonts w:hint="eastAsia" w:ascii="宋体" w:hAnsi="宋体" w:eastAsia="宋体" w:cs="宋体"/>
          <w:sz w:val="24"/>
          <w:szCs w:val="24"/>
          <w:lang w:eastAsia="zh-CN"/>
        </w:rPr>
        <w:t>、</w:t>
      </w:r>
      <w:r>
        <w:rPr>
          <w:rFonts w:hint="eastAsia" w:ascii="宋体" w:hAnsi="宋体" w:eastAsia="宋体" w:cs="宋体"/>
          <w:sz w:val="24"/>
          <w:szCs w:val="24"/>
        </w:rPr>
        <w:t>陈美春</w:t>
      </w:r>
      <w:r>
        <w:rPr>
          <w:rFonts w:hint="eastAsia" w:ascii="宋体" w:hAnsi="宋体" w:eastAsia="宋体" w:cs="宋体"/>
          <w:sz w:val="24"/>
          <w:szCs w:val="24"/>
          <w:lang w:eastAsia="zh-CN"/>
        </w:rPr>
        <w:t>、</w:t>
      </w:r>
      <w:r>
        <w:rPr>
          <w:rFonts w:hint="eastAsia" w:ascii="宋体" w:hAnsi="宋体" w:eastAsia="宋体" w:cs="宋体"/>
          <w:sz w:val="24"/>
          <w:szCs w:val="24"/>
        </w:rPr>
        <w:t>孟尤生、张文正</w:t>
      </w:r>
    </w:p>
    <w:p w14:paraId="7CAB10C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六、代理服务收费标准及金额：</w:t>
      </w:r>
    </w:p>
    <w:p w14:paraId="5D4D762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本项目代理费收费标准：中标总金额100万元以下按金额的1.5%收取；100万元～500万元部分，按金额的0.8 %收取；服务费按差额定率累进法计算。</w:t>
      </w:r>
    </w:p>
    <w:p w14:paraId="526D9D2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本项目代理费总金额：3</w:t>
      </w:r>
      <w:r>
        <w:rPr>
          <w:rFonts w:hint="eastAsia" w:ascii="宋体" w:hAnsi="宋体" w:eastAsia="宋体" w:cs="宋体"/>
          <w:sz w:val="24"/>
          <w:szCs w:val="24"/>
          <w:lang w:val="en-US" w:eastAsia="zh-CN"/>
        </w:rPr>
        <w:t>.</w:t>
      </w:r>
      <w:r>
        <w:rPr>
          <w:rFonts w:hint="eastAsia" w:ascii="宋体" w:hAnsi="宋体" w:eastAsia="宋体" w:cs="宋体"/>
          <w:sz w:val="24"/>
          <w:szCs w:val="24"/>
        </w:rPr>
        <w:t xml:space="preserve">535648 万元（人民币） </w:t>
      </w:r>
    </w:p>
    <w:p w14:paraId="54884CA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七、公告期限</w:t>
      </w:r>
    </w:p>
    <w:p w14:paraId="61CC722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自本公告发布之日起1个工作日。</w:t>
      </w:r>
    </w:p>
    <w:p w14:paraId="1ED6847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八、其它补充事宜</w:t>
      </w:r>
    </w:p>
    <w:p w14:paraId="061DC8A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福州安心园投资咨询有限责任公司因未按要求提供经审计、完整的财务状况报告，其资格性审查不通过；其余供应商资格性与投标文件的符合性审查均通过。</w:t>
      </w:r>
      <w:r>
        <w:rPr>
          <w:rFonts w:hint="eastAsia" w:ascii="宋体" w:hAnsi="宋体" w:eastAsia="宋体" w:cs="宋体"/>
          <w:sz w:val="24"/>
          <w:szCs w:val="24"/>
          <w:lang w:val="en-US" w:eastAsia="zh-CN"/>
        </w:rPr>
        <w:t xml:space="preserve"> </w:t>
      </w:r>
    </w:p>
    <w:p w14:paraId="3857A72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九、凡对本次公告内容提出询问，请按以下方式联系。</w:t>
      </w:r>
    </w:p>
    <w:p w14:paraId="4AC4AC5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1.采购人信息</w:t>
      </w:r>
    </w:p>
    <w:p w14:paraId="2E7605F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名 称：福建省金泰康乐养老服务有限公司　　　　　</w:t>
      </w:r>
    </w:p>
    <w:p w14:paraId="6A329E7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地址：福建省宁德市蕉城区福海路1号　　　　　　　　</w:t>
      </w:r>
    </w:p>
    <w:p w14:paraId="663D0BC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联系方式：孟先生0593-2251005　　　　　　</w:t>
      </w:r>
    </w:p>
    <w:p w14:paraId="33AB84F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2.采购代理机构信息</w:t>
      </w:r>
    </w:p>
    <w:p w14:paraId="628F071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名 称：宁德市有信产权交易服务有限公司　　　　　　　　　　　　</w:t>
      </w:r>
    </w:p>
    <w:p w14:paraId="69D891B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地　址：宁德市东侨经济技术开发区金禾商务中心12层　　　　　　　　　　　　</w:t>
      </w:r>
    </w:p>
    <w:p w14:paraId="5AF7F6A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联系方式：彭女士 0593-2292676　　　　　　　　　　　　</w:t>
      </w:r>
    </w:p>
    <w:p w14:paraId="49EC27D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3.项目联系方式</w:t>
      </w:r>
    </w:p>
    <w:p w14:paraId="4599645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项目联系人：彭女士</w:t>
      </w:r>
    </w:p>
    <w:p w14:paraId="37670CD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电　话：0593-2292676</w:t>
      </w:r>
    </w:p>
    <w:p w14:paraId="24C9350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p>
    <w:p w14:paraId="63011A53">
      <w:pPr>
        <w:keepNext w:val="0"/>
        <w:keepLines w:val="0"/>
        <w:pageBreakBefore w:val="0"/>
        <w:widowControl w:val="0"/>
        <w:kinsoku/>
        <w:wordWrap/>
        <w:overflowPunct/>
        <w:topLinePunct w:val="0"/>
        <w:autoSpaceDE/>
        <w:autoSpaceDN/>
        <w:bidi w:val="0"/>
        <w:adjustRightInd/>
        <w:snapToGrid/>
        <w:spacing w:line="500" w:lineRule="exact"/>
        <w:jc w:val="right"/>
        <w:textAlignment w:val="auto"/>
        <w:rPr>
          <w:rFonts w:hint="eastAsia" w:ascii="宋体" w:hAnsi="宋体" w:eastAsia="宋体" w:cs="宋体"/>
          <w:sz w:val="24"/>
          <w:szCs w:val="24"/>
        </w:rPr>
      </w:pPr>
    </w:p>
    <w:p w14:paraId="555E6299">
      <w:pPr>
        <w:keepNext w:val="0"/>
        <w:keepLines w:val="0"/>
        <w:pageBreakBefore w:val="0"/>
        <w:widowControl w:val="0"/>
        <w:kinsoku/>
        <w:wordWrap/>
        <w:overflowPunct/>
        <w:topLinePunct w:val="0"/>
        <w:autoSpaceDE/>
        <w:autoSpaceDN/>
        <w:bidi w:val="0"/>
        <w:adjustRightInd/>
        <w:snapToGrid/>
        <w:spacing w:line="500" w:lineRule="exact"/>
        <w:jc w:val="right"/>
        <w:textAlignment w:val="auto"/>
        <w:rPr>
          <w:rFonts w:hint="eastAsia" w:ascii="宋体" w:hAnsi="宋体" w:eastAsia="宋体" w:cs="宋体"/>
          <w:sz w:val="24"/>
          <w:szCs w:val="24"/>
        </w:rPr>
      </w:pPr>
      <w:r>
        <w:rPr>
          <w:rFonts w:hint="eastAsia" w:ascii="宋体" w:hAnsi="宋体" w:eastAsia="宋体" w:cs="宋体"/>
          <w:sz w:val="24"/>
          <w:szCs w:val="24"/>
        </w:rPr>
        <w:t>宁德市有信产权交易服务有限公司</w:t>
      </w:r>
    </w:p>
    <w:p w14:paraId="20692FD1">
      <w:pPr>
        <w:keepNext w:val="0"/>
        <w:keepLines w:val="0"/>
        <w:pageBreakBefore w:val="0"/>
        <w:widowControl w:val="0"/>
        <w:kinsoku/>
        <w:wordWrap/>
        <w:overflowPunct/>
        <w:topLinePunct w:val="0"/>
        <w:autoSpaceDE/>
        <w:autoSpaceDN/>
        <w:bidi w:val="0"/>
        <w:adjustRightInd/>
        <w:snapToGrid/>
        <w:spacing w:line="500" w:lineRule="exact"/>
        <w:jc w:val="righ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2024年7月26日</w:t>
      </w:r>
    </w:p>
    <w:p w14:paraId="5C8AFECB">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　</w:t>
      </w:r>
    </w:p>
    <w:p w14:paraId="0D9AE1C1">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A0NzgxNGJmNDc1ZmFiMWIzMmEyZjY1MjU4NGZhMDAifQ=="/>
  </w:docVars>
  <w:rsids>
    <w:rsidRoot w:val="36344B7B"/>
    <w:rsid w:val="1360648C"/>
    <w:rsid w:val="1B3360AE"/>
    <w:rsid w:val="27466923"/>
    <w:rsid w:val="36344B7B"/>
    <w:rsid w:val="4ED36B42"/>
    <w:rsid w:val="575166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Title"/>
    <w:basedOn w:val="1"/>
    <w:next w:val="1"/>
    <w:qFormat/>
    <w:uiPriority w:val="0"/>
    <w:pPr>
      <w:widowControl w:val="0"/>
      <w:spacing w:before="240" w:after="60"/>
      <w:jc w:val="center"/>
      <w:outlineLvl w:val="0"/>
    </w:pPr>
    <w:rPr>
      <w:rFonts w:ascii="Cambria" w:hAnsi="Cambria"/>
      <w:b/>
      <w:bCs/>
      <w:kern w:val="2"/>
      <w:sz w:val="32"/>
      <w:szCs w:val="32"/>
      <w:lang w:val="en-US" w:eastAsia="zh-CN" w:bidi="ar-SA"/>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1332</Words>
  <Characters>1460</Characters>
  <Lines>0</Lines>
  <Paragraphs>0</Paragraphs>
  <TotalTime>0</TotalTime>
  <ScaleCrop>false</ScaleCrop>
  <LinksUpToDate>false</LinksUpToDate>
  <CharactersWithSpaces>1533</CharactersWithSpaces>
  <Application>WPS Office_12.1.0.17813_F1E327BC-269C-435d-A152-05C5408002CA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2023-07-19T10:18:00Z</dcterms:created>
  <dc:creator>栗弋。</dc:creator>
  <cp:lastModifiedBy>栗弋。</cp:lastModifiedBy>
  <dcterms:modified xsi:type="dcterms:W3CDTF">2024-07-26T08:45:37Z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2052-12.1.0.17813</vt:lpwstr>
  </property>
  <property fmtid="{D5CDD505-2E9C-101B-9397-08002B2CF9AE}" pid="3" name="ICV">
    <vt:lpwstr>341E60C66AF744F8AC559AACF54107ED_11</vt:lpwstr>
  </property>
</Properties>
</file>